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LV-C[C3]-I[3-1-1-6-i-] Purchase of zero-emission vehicles for the performance of municipal functions and related services</w:t>
      </w:r>
    </w:p>
    <w:p w:rsidR="00DC6807" w:rsidRPr="00905B9C" w:rsidP="01BD11D8" w14:paraId="4C22E5B9" w14:textId="470FD0EC">
      <w:pPr>
        <w:jc w:val="right"/>
        <w:rPr>
          <w:b/>
          <w:bCs/>
          <w:highlight w:val="cyan"/>
          <w:lang w:val="fr-BE"/>
        </w:rPr>
      </w:pPr>
      <w:r w:rsidRPr="00905B9C" w:rsidR="005B3C6E">
        <w:rPr>
          <w:b/>
          <w:bCs/>
          <w:lang w:val="fr-BE"/>
        </w:rPr>
        <w:t>LV-C[C3]-I[3-1-1-6-i-]-T[109] Number of electric school buses purchased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the performance of the municipal functions and related services with a focus on the mobility of learners in the optimised school network. A secondary objective is to contribute to the greening of public transport in Latvia by investing in zero-emission vehicles. The measure consists of the entry into force of a government regulation setting out the conditions for municipalities to obtain the support for procuring zero-emission vehicles, procurement process and delivery of 15 zero-emission vehicles (electric buses) for the transport of learners in the regions. The implementation of the investment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109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C3.3-1-1-6-i- Purchase of zero-emission vehicles for the performance of municipal functions and related services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electric school buses purchased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15</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Central Finance and Contracting Agency,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Delivery of 15 electric school buses to municipalities as beneficiaries for municipal transport of learners.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an extract of the relevant official documents containing evidence that the electric buses had been delivered to municipalities as beneficiaries for municipal transport of learners (e.g a document of acceptance – transfer or other proof of purchase and delivery).</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Targets 108 and 109 are interlinked. While target 108 focuses on award of contracts for the purchase of electric buses for the indicated total amount, target 109 stipulates that 15 electrical school buses shall be purchased and delivered to municipalities as beneficiaries.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